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0D687" w14:textId="77777777" w:rsidR="00130780" w:rsidRDefault="00130780" w:rsidP="00130780">
      <w:pPr>
        <w:jc w:val="center"/>
        <w:rPr>
          <w:rFonts w:cs="Arial"/>
          <w:sz w:val="44"/>
          <w:szCs w:val="44"/>
        </w:rPr>
      </w:pPr>
    </w:p>
    <w:p w14:paraId="30278CEA" w14:textId="77777777" w:rsidR="00130780" w:rsidRDefault="00130780" w:rsidP="00130780">
      <w:pPr>
        <w:jc w:val="center"/>
        <w:rPr>
          <w:rFonts w:cs="Arial"/>
          <w:sz w:val="44"/>
          <w:szCs w:val="44"/>
        </w:rPr>
      </w:pPr>
    </w:p>
    <w:p w14:paraId="0D138C02" w14:textId="77777777" w:rsidR="00130780" w:rsidRDefault="00130780" w:rsidP="00130780">
      <w:pPr>
        <w:jc w:val="center"/>
        <w:rPr>
          <w:rFonts w:cs="Arial"/>
          <w:sz w:val="44"/>
          <w:szCs w:val="44"/>
        </w:rPr>
      </w:pPr>
    </w:p>
    <w:p w14:paraId="04C47A15" w14:textId="77777777" w:rsidR="00130780" w:rsidRDefault="00130780" w:rsidP="00130780">
      <w:pPr>
        <w:jc w:val="center"/>
        <w:rPr>
          <w:rFonts w:cs="Arial"/>
          <w:sz w:val="44"/>
          <w:szCs w:val="44"/>
        </w:rPr>
      </w:pPr>
    </w:p>
    <w:p w14:paraId="1C1F3F54" w14:textId="4A0D61FC" w:rsidR="00130780" w:rsidRDefault="00130780" w:rsidP="00AA2E3F">
      <w:pPr>
        <w:pStyle w:val="Nagwek1"/>
        <w:rPr>
          <w:b w:val="0"/>
        </w:rPr>
      </w:pPr>
      <w:r>
        <w:rPr>
          <w:b w:val="0"/>
        </w:rPr>
        <w:t xml:space="preserve">RAPORT EWALUACYJNY Z REALIZACJI PROJEKTU </w:t>
      </w:r>
    </w:p>
    <w:p w14:paraId="68AD118A" w14:textId="4FD6E450" w:rsidR="00130780" w:rsidRDefault="00130780" w:rsidP="00AA2E3F">
      <w:pPr>
        <w:pStyle w:val="Nagwek1"/>
      </w:pPr>
      <w:r>
        <w:rPr>
          <w:b w:val="0"/>
        </w:rPr>
        <w:t xml:space="preserve">„PRZEDSIĘBIORCZY NIEWIDOMY” UKRAIŃSKO – POLSKIE WARSZTATY PRZEDSIĘBIORCZOŚCI W DOBIE NOWYCH TECHNOLOGII </w:t>
      </w:r>
    </w:p>
    <w:p w14:paraId="14345B09" w14:textId="77777777" w:rsidR="00130780" w:rsidRDefault="00130780" w:rsidP="00AA2E3F">
      <w:pPr>
        <w:pStyle w:val="Nagwek1"/>
      </w:pPr>
    </w:p>
    <w:p w14:paraId="6D5C424F" w14:textId="77777777" w:rsidR="00130780" w:rsidRDefault="00130780" w:rsidP="00AA2E3F">
      <w:pPr>
        <w:pStyle w:val="Nagwek1"/>
      </w:pPr>
    </w:p>
    <w:p w14:paraId="5BB2B932" w14:textId="77777777" w:rsidR="00130780" w:rsidRDefault="00130780" w:rsidP="00130780">
      <w:pPr>
        <w:jc w:val="center"/>
        <w:rPr>
          <w:rFonts w:cs="Arial"/>
          <w:sz w:val="44"/>
          <w:szCs w:val="44"/>
        </w:rPr>
      </w:pPr>
    </w:p>
    <w:p w14:paraId="3763F20D" w14:textId="77777777" w:rsidR="003A5947" w:rsidRDefault="003A5947" w:rsidP="00130780">
      <w:pPr>
        <w:jc w:val="center"/>
        <w:rPr>
          <w:rFonts w:cs="Arial"/>
          <w:sz w:val="44"/>
          <w:szCs w:val="44"/>
        </w:rPr>
      </w:pPr>
    </w:p>
    <w:p w14:paraId="7400DC23" w14:textId="77777777" w:rsidR="00130780" w:rsidRDefault="00130780" w:rsidP="00130780">
      <w:pPr>
        <w:jc w:val="center"/>
        <w:rPr>
          <w:rFonts w:cs="Arial"/>
          <w:sz w:val="44"/>
          <w:szCs w:val="44"/>
        </w:rPr>
      </w:pPr>
    </w:p>
    <w:p w14:paraId="5637D9C2" w14:textId="5ECC73B7" w:rsidR="00130780" w:rsidRDefault="00130780" w:rsidP="00AA2E3F">
      <w:pPr>
        <w:pStyle w:val="Nagwek2"/>
      </w:pPr>
      <w:r>
        <w:t>Wprowadzenie</w:t>
      </w:r>
    </w:p>
    <w:p w14:paraId="1F2A18DC" w14:textId="51A468DD" w:rsidR="00130780" w:rsidRDefault="00130780" w:rsidP="00AA2E3F">
      <w:pPr>
        <w:spacing w:before="240"/>
        <w:rPr>
          <w:rFonts w:cs="Arial"/>
          <w:sz w:val="28"/>
          <w:szCs w:val="28"/>
        </w:rPr>
      </w:pPr>
      <w:r w:rsidRPr="00130780">
        <w:rPr>
          <w:rFonts w:cs="Arial"/>
          <w:sz w:val="28"/>
          <w:szCs w:val="28"/>
        </w:rPr>
        <w:t>Niniejszy raport przedstawia analizę zmian</w:t>
      </w:r>
      <w:r>
        <w:rPr>
          <w:rFonts w:cs="Arial"/>
          <w:sz w:val="28"/>
          <w:szCs w:val="28"/>
        </w:rPr>
        <w:t xml:space="preserve">, jakie zaszły </w:t>
      </w:r>
      <w:r w:rsidRPr="00130780">
        <w:rPr>
          <w:rFonts w:cs="Arial"/>
          <w:sz w:val="28"/>
          <w:szCs w:val="28"/>
        </w:rPr>
        <w:t>w postrzeganiu kraju partnerskiego</w:t>
      </w:r>
      <w:r>
        <w:rPr>
          <w:rFonts w:cs="Arial"/>
          <w:sz w:val="28"/>
          <w:szCs w:val="28"/>
        </w:rPr>
        <w:t xml:space="preserve"> </w:t>
      </w:r>
      <w:r w:rsidRPr="00130780">
        <w:rPr>
          <w:rFonts w:cs="Arial"/>
          <w:sz w:val="28"/>
          <w:szCs w:val="28"/>
        </w:rPr>
        <w:t>przez uczestników oraz ich autorefleksje dotyczące własnego rozwoju osobistego</w:t>
      </w:r>
      <w:r>
        <w:rPr>
          <w:rFonts w:cs="Arial"/>
          <w:sz w:val="28"/>
          <w:szCs w:val="28"/>
        </w:rPr>
        <w:t xml:space="preserve"> w kontekście funkcjonowania osób niepełnosprawnych na rynku pracy z zastosowaniem nowych technologii</w:t>
      </w:r>
      <w:r w:rsidRPr="00130780">
        <w:rPr>
          <w:rFonts w:cs="Arial"/>
          <w:sz w:val="28"/>
          <w:szCs w:val="28"/>
        </w:rPr>
        <w:t>. Badanie</w:t>
      </w:r>
      <w:r>
        <w:rPr>
          <w:rFonts w:cs="Arial"/>
          <w:sz w:val="28"/>
          <w:szCs w:val="28"/>
        </w:rPr>
        <w:t xml:space="preserve"> </w:t>
      </w:r>
      <w:r w:rsidRPr="00130780">
        <w:rPr>
          <w:rFonts w:cs="Arial"/>
          <w:sz w:val="28"/>
          <w:szCs w:val="28"/>
        </w:rPr>
        <w:t>to ma na celu zrozumienie, w jaki sposób uczestnictwo w projekcie wpłynęło na ich</w:t>
      </w:r>
      <w:r>
        <w:rPr>
          <w:rFonts w:cs="Arial"/>
          <w:sz w:val="28"/>
          <w:szCs w:val="28"/>
        </w:rPr>
        <w:t xml:space="preserve"> </w:t>
      </w:r>
      <w:r w:rsidRPr="00130780">
        <w:rPr>
          <w:rFonts w:cs="Arial"/>
          <w:sz w:val="28"/>
          <w:szCs w:val="28"/>
        </w:rPr>
        <w:t>percepcję oraz jakie korzyści i doświadczenia z tego wynikły.</w:t>
      </w:r>
    </w:p>
    <w:p w14:paraId="05755D26" w14:textId="6844704E" w:rsidR="00130780" w:rsidRDefault="00130780" w:rsidP="00130780">
      <w:pPr>
        <w:rPr>
          <w:rFonts w:cs="Arial"/>
          <w:sz w:val="28"/>
          <w:szCs w:val="28"/>
        </w:rPr>
      </w:pPr>
      <w:r w:rsidRPr="00130780">
        <w:rPr>
          <w:rFonts w:cs="Arial"/>
          <w:sz w:val="28"/>
          <w:szCs w:val="28"/>
        </w:rPr>
        <w:t xml:space="preserve">Poprzez ocenę </w:t>
      </w:r>
      <w:r>
        <w:rPr>
          <w:rFonts w:cs="Arial"/>
          <w:sz w:val="28"/>
          <w:szCs w:val="28"/>
        </w:rPr>
        <w:t>wyżej wymienionych elementów</w:t>
      </w:r>
      <w:r w:rsidRPr="00130780">
        <w:rPr>
          <w:rFonts w:cs="Arial"/>
          <w:sz w:val="28"/>
          <w:szCs w:val="28"/>
        </w:rPr>
        <w:t>, możemy lepiej zrozumieć skuteczność przeprowadzonych</w:t>
      </w:r>
      <w:r>
        <w:rPr>
          <w:rFonts w:cs="Arial"/>
          <w:sz w:val="28"/>
          <w:szCs w:val="28"/>
        </w:rPr>
        <w:t xml:space="preserve"> </w:t>
      </w:r>
      <w:r w:rsidRPr="00130780">
        <w:rPr>
          <w:rFonts w:cs="Arial"/>
          <w:sz w:val="28"/>
          <w:szCs w:val="28"/>
        </w:rPr>
        <w:t xml:space="preserve">działań i zidentyfikować obszary </w:t>
      </w:r>
      <w:r>
        <w:rPr>
          <w:rFonts w:cs="Arial"/>
          <w:sz w:val="28"/>
          <w:szCs w:val="28"/>
        </w:rPr>
        <w:t xml:space="preserve">kompetencji, które </w:t>
      </w:r>
      <w:r w:rsidRPr="00130780">
        <w:rPr>
          <w:rFonts w:cs="Arial"/>
          <w:sz w:val="28"/>
          <w:szCs w:val="28"/>
        </w:rPr>
        <w:t xml:space="preserve">wymagające </w:t>
      </w:r>
      <w:r>
        <w:rPr>
          <w:rFonts w:cs="Arial"/>
          <w:sz w:val="28"/>
          <w:szCs w:val="28"/>
        </w:rPr>
        <w:t xml:space="preserve">interwencji. </w:t>
      </w:r>
    </w:p>
    <w:p w14:paraId="069F8A34" w14:textId="7955C195" w:rsidR="00437FF9" w:rsidRDefault="00AA2E3F" w:rsidP="00AA2E3F">
      <w:pPr>
        <w:pStyle w:val="Nagwek2"/>
      </w:pPr>
      <w:r>
        <w:lastRenderedPageBreak/>
        <w:t>Szczegółowy opis wyników ewaluacji</w:t>
      </w:r>
    </w:p>
    <w:p w14:paraId="2A21F91C" w14:textId="77777777" w:rsidR="00157197" w:rsidRDefault="00437FF9" w:rsidP="00AA2E3F">
      <w:pPr>
        <w:spacing w:before="24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Postrzeganie kraju partnerskiego </w:t>
      </w:r>
      <w:r w:rsidR="009C6727">
        <w:rPr>
          <w:rFonts w:cs="Arial"/>
          <w:sz w:val="28"/>
          <w:szCs w:val="28"/>
        </w:rPr>
        <w:t>o</w:t>
      </w:r>
      <w:r w:rsidR="00FB4898">
        <w:rPr>
          <w:rFonts w:cs="Arial"/>
          <w:sz w:val="28"/>
          <w:szCs w:val="28"/>
        </w:rPr>
        <w:t xml:space="preserve">d samego początku wymiany było bardzo pozytywne. </w:t>
      </w:r>
      <w:r w:rsidR="009C6727">
        <w:rPr>
          <w:rFonts w:cs="Arial"/>
          <w:sz w:val="28"/>
          <w:szCs w:val="28"/>
        </w:rPr>
        <w:t xml:space="preserve">Uczestnicy </w:t>
      </w:r>
      <w:r w:rsidR="00A34061">
        <w:rPr>
          <w:rFonts w:cs="Arial"/>
          <w:sz w:val="28"/>
          <w:szCs w:val="28"/>
        </w:rPr>
        <w:t>w ponad 92% pozytywnie odbierają kraj pochodzenia</w:t>
      </w:r>
      <w:r w:rsidR="009449E0">
        <w:rPr>
          <w:rFonts w:cs="Arial"/>
          <w:sz w:val="28"/>
          <w:szCs w:val="28"/>
        </w:rPr>
        <w:t xml:space="preserve"> uczestników wymiany</w:t>
      </w:r>
      <w:r w:rsidR="00157197">
        <w:rPr>
          <w:rFonts w:cs="Arial"/>
          <w:sz w:val="28"/>
          <w:szCs w:val="28"/>
        </w:rPr>
        <w:t xml:space="preserve">, co prezentuje poniższy wykres. </w:t>
      </w:r>
    </w:p>
    <w:p w14:paraId="65ED3FC3" w14:textId="17F59858" w:rsidR="00157197" w:rsidRDefault="00157197" w:rsidP="003A5947">
      <w:pPr>
        <w:jc w:val="center"/>
        <w:rPr>
          <w:rFonts w:cs="Arial"/>
          <w:sz w:val="28"/>
          <w:szCs w:val="28"/>
        </w:rPr>
      </w:pPr>
      <w:r>
        <w:rPr>
          <w:rFonts w:cs="Arial"/>
          <w:noProof/>
          <w:sz w:val="28"/>
          <w:szCs w:val="28"/>
        </w:rPr>
        <w:drawing>
          <wp:inline distT="0" distB="0" distL="0" distR="0" wp14:anchorId="43E21B72" wp14:editId="263D3933">
            <wp:extent cx="5908502" cy="3241963"/>
            <wp:effectExtent l="0" t="0" r="16510" b="15875"/>
            <wp:docPr id="350354074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524788B" w14:textId="77777777" w:rsidR="003A5947" w:rsidRDefault="003A5947" w:rsidP="00157197">
      <w:pPr>
        <w:ind w:firstLine="708"/>
        <w:rPr>
          <w:rFonts w:cs="Arial"/>
          <w:sz w:val="28"/>
          <w:szCs w:val="28"/>
        </w:rPr>
      </w:pPr>
    </w:p>
    <w:p w14:paraId="5EAF9A6D" w14:textId="13316F53" w:rsidR="009449E0" w:rsidRDefault="00A34061" w:rsidP="00157197">
      <w:pPr>
        <w:ind w:firstLine="708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Badanie końcowe zwiększyło odsetek pozytywnej oceny do 97%. Poprawa percepcji uczestników potwierdza pozytywny efekt realizowanej </w:t>
      </w:r>
      <w:r w:rsidR="009449E0">
        <w:rPr>
          <w:rFonts w:cs="Arial"/>
          <w:sz w:val="28"/>
          <w:szCs w:val="28"/>
        </w:rPr>
        <w:t xml:space="preserve">zadania. Wskazuje, że  działania związane z edukacją międzykulturową odniosły spodziewane rezultaty. </w:t>
      </w:r>
    </w:p>
    <w:p w14:paraId="222E1669" w14:textId="75238A20" w:rsidR="006C0A3F" w:rsidRDefault="006C0A3F" w:rsidP="00157197">
      <w:pPr>
        <w:ind w:firstLine="708"/>
        <w:rPr>
          <w:rFonts w:cs="Arial"/>
          <w:sz w:val="28"/>
          <w:szCs w:val="28"/>
        </w:rPr>
      </w:pPr>
      <w:r>
        <w:rPr>
          <w:rFonts w:cs="Arial"/>
          <w:noProof/>
          <w:sz w:val="28"/>
          <w:szCs w:val="28"/>
        </w:rPr>
        <w:drawing>
          <wp:inline distT="0" distB="0" distL="0" distR="0" wp14:anchorId="6F76F28C" wp14:editId="34D6BCEC">
            <wp:extent cx="5486400" cy="3200400"/>
            <wp:effectExtent l="0" t="0" r="0" b="0"/>
            <wp:docPr id="862253614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87E3AE6" w14:textId="5254865D" w:rsidR="002D2D48" w:rsidRDefault="00795B1C" w:rsidP="003A5947">
      <w:pPr>
        <w:ind w:firstLine="708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>Uczestnicy wymiany w większości znali się wcześniej</w:t>
      </w:r>
      <w:r w:rsidR="005038EA">
        <w:rPr>
          <w:rFonts w:cs="Arial"/>
          <w:sz w:val="28"/>
          <w:szCs w:val="28"/>
        </w:rPr>
        <w:t xml:space="preserve"> (spotkania na etapie pisania wniosku o dofinansowanie)</w:t>
      </w:r>
      <w:r>
        <w:rPr>
          <w:rFonts w:cs="Arial"/>
          <w:sz w:val="28"/>
          <w:szCs w:val="28"/>
        </w:rPr>
        <w:t>. W związku z tym poziom budowania wspólnych relacji grupowych i komunikacji był dość wysoki</w:t>
      </w:r>
      <w:r w:rsidR="002D2D48">
        <w:rPr>
          <w:rFonts w:cs="Arial"/>
          <w:sz w:val="28"/>
          <w:szCs w:val="28"/>
        </w:rPr>
        <w:t xml:space="preserve"> i nie wymagał interwencji</w:t>
      </w:r>
      <w:r>
        <w:rPr>
          <w:rFonts w:cs="Arial"/>
          <w:sz w:val="28"/>
          <w:szCs w:val="28"/>
        </w:rPr>
        <w:t>.</w:t>
      </w:r>
      <w:r w:rsidR="00AE1A97">
        <w:rPr>
          <w:rFonts w:cs="Arial"/>
          <w:sz w:val="28"/>
          <w:szCs w:val="28"/>
        </w:rPr>
        <w:t xml:space="preserve"> </w:t>
      </w:r>
      <w:r w:rsidR="005038EA">
        <w:rPr>
          <w:rFonts w:cs="Arial"/>
          <w:sz w:val="28"/>
          <w:szCs w:val="28"/>
        </w:rPr>
        <w:t>Również wysoki byłe przed  wymianom poziom zrozumienia różnic kulturowych. Po realizacji wymiany nie uległ on zmianie. Natomiast w</w:t>
      </w:r>
      <w:r w:rsidR="00AE1A97">
        <w:rPr>
          <w:rFonts w:cs="Arial"/>
          <w:sz w:val="28"/>
          <w:szCs w:val="28"/>
        </w:rPr>
        <w:t xml:space="preserve">ysoki poziom komunikacji międzykulturowej potwierdzają wyniki ewaluacji. </w:t>
      </w:r>
      <w:r>
        <w:rPr>
          <w:rFonts w:cs="Arial"/>
          <w:sz w:val="28"/>
          <w:szCs w:val="28"/>
        </w:rPr>
        <w:t xml:space="preserve">Wszyscy uczestnicy stwierdzili, że w ramach prowadzonych warsztatów atmosfera panowała przyjazna, a komunikacja w większości była zrozumiała. Zastosowanie przez prowadzących tzw. prostego języka (ETR) znacząco </w:t>
      </w:r>
      <w:r w:rsidR="00B05926">
        <w:rPr>
          <w:rFonts w:cs="Arial"/>
          <w:sz w:val="28"/>
          <w:szCs w:val="28"/>
        </w:rPr>
        <w:t>pomogło</w:t>
      </w:r>
      <w:r>
        <w:rPr>
          <w:rFonts w:cs="Arial"/>
          <w:sz w:val="28"/>
          <w:szCs w:val="28"/>
        </w:rPr>
        <w:t xml:space="preserve"> uczestnikom w zrozumieniu trudnych zagadnień ekonomicznych. </w:t>
      </w:r>
    </w:p>
    <w:p w14:paraId="3F99D657" w14:textId="53B213FB" w:rsidR="00795B1C" w:rsidRDefault="00795B1C" w:rsidP="002D2D48">
      <w:pPr>
        <w:ind w:firstLine="708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Z obserwacji rozwoju procesu grupowego wynika, że po wymianie nastąpiło zwiększenie poziomu komunikacji pomiędzy uczestnikami (w szkole i poza nią)</w:t>
      </w:r>
      <w:r w:rsidR="00B05926">
        <w:rPr>
          <w:rFonts w:cs="Arial"/>
          <w:sz w:val="28"/>
          <w:szCs w:val="28"/>
        </w:rPr>
        <w:t xml:space="preserve">, co potwierdza aktywność na grupie społecznościowej założonej w czasie realizacji wymiany </w:t>
      </w:r>
      <w:r>
        <w:rPr>
          <w:rFonts w:cs="Arial"/>
          <w:sz w:val="28"/>
          <w:szCs w:val="28"/>
        </w:rPr>
        <w:t>oraz nawiązały się głębsze relacje społeczne pomiędzy uczestnikami. Zaobserwowa</w:t>
      </w:r>
      <w:r w:rsidR="00B05926">
        <w:rPr>
          <w:rFonts w:cs="Arial"/>
          <w:sz w:val="28"/>
          <w:szCs w:val="28"/>
        </w:rPr>
        <w:t>no</w:t>
      </w:r>
      <w:r>
        <w:rPr>
          <w:rFonts w:cs="Arial"/>
          <w:sz w:val="28"/>
          <w:szCs w:val="28"/>
        </w:rPr>
        <w:t xml:space="preserve"> również poprawę zrozumienia (tolerancji) osób niepełnosprawnych, które z różnych względów nie mają </w:t>
      </w:r>
      <w:r w:rsidR="00B05926">
        <w:rPr>
          <w:rFonts w:cs="Arial"/>
          <w:sz w:val="28"/>
          <w:szCs w:val="28"/>
        </w:rPr>
        <w:t xml:space="preserve">trudności w wyrażaniu własnych poglądów, emocji i z natury są zamknięci w sobie. </w:t>
      </w:r>
    </w:p>
    <w:p w14:paraId="73983136" w14:textId="4339866C" w:rsidR="00B05926" w:rsidRDefault="00B05926" w:rsidP="00795B1C">
      <w:pPr>
        <w:ind w:firstLine="708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Sukcesem w ocenie prowadzących zajęcia jest zaangażowanie wszystkich uczestników w proces komunikacji</w:t>
      </w:r>
      <w:r w:rsidR="00AE1A97">
        <w:rPr>
          <w:rFonts w:cs="Arial"/>
          <w:sz w:val="28"/>
          <w:szCs w:val="28"/>
        </w:rPr>
        <w:t xml:space="preserve"> i współpracy, co przekłada się na</w:t>
      </w:r>
      <w:r>
        <w:rPr>
          <w:rFonts w:cs="Arial"/>
          <w:sz w:val="28"/>
          <w:szCs w:val="28"/>
        </w:rPr>
        <w:t xml:space="preserve"> realizację wspólnych zadań i przygotowanie pomysłów na biznesy z zastosowaniem technologii.</w:t>
      </w:r>
      <w:r w:rsidR="00AE1A97">
        <w:rPr>
          <w:rFonts w:cs="Arial"/>
          <w:sz w:val="28"/>
          <w:szCs w:val="28"/>
        </w:rPr>
        <w:t xml:space="preserve"> Zachodzący w czasie wymiany proces współpracy w  grupie zdaniem uczestników był efektywny i wpłynął na poprawę poziomu </w:t>
      </w:r>
      <w:r w:rsidR="000C6D72">
        <w:rPr>
          <w:rFonts w:cs="Arial"/>
          <w:sz w:val="28"/>
          <w:szCs w:val="28"/>
        </w:rPr>
        <w:t>umiejętności</w:t>
      </w:r>
      <w:r w:rsidR="00AE1A97">
        <w:rPr>
          <w:rFonts w:cs="Arial"/>
          <w:sz w:val="28"/>
          <w:szCs w:val="28"/>
        </w:rPr>
        <w:t xml:space="preserve"> pracy </w:t>
      </w:r>
      <w:r w:rsidR="000C6D72">
        <w:rPr>
          <w:rFonts w:cs="Arial"/>
          <w:sz w:val="28"/>
          <w:szCs w:val="28"/>
        </w:rPr>
        <w:br/>
      </w:r>
      <w:r w:rsidR="00AE1A97">
        <w:rPr>
          <w:rFonts w:cs="Arial"/>
          <w:sz w:val="28"/>
          <w:szCs w:val="28"/>
        </w:rPr>
        <w:t xml:space="preserve">w grupie. </w:t>
      </w:r>
    </w:p>
    <w:p w14:paraId="73144CC5" w14:textId="53A5BCE7" w:rsidR="00AE1A97" w:rsidRDefault="00AE1A97" w:rsidP="00795B1C">
      <w:pPr>
        <w:ind w:firstLine="708"/>
        <w:rPr>
          <w:rFonts w:cs="Arial"/>
          <w:sz w:val="28"/>
          <w:szCs w:val="28"/>
        </w:rPr>
      </w:pPr>
      <w:r>
        <w:rPr>
          <w:rFonts w:cs="Arial"/>
          <w:noProof/>
          <w:sz w:val="28"/>
          <w:szCs w:val="28"/>
        </w:rPr>
        <w:drawing>
          <wp:inline distT="0" distB="0" distL="0" distR="0" wp14:anchorId="184CCAF4" wp14:editId="72CB3A0F">
            <wp:extent cx="5486400" cy="3200400"/>
            <wp:effectExtent l="0" t="0" r="0" b="0"/>
            <wp:docPr id="1536600692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8E91ABD" w14:textId="1D0F13AD" w:rsidR="00AE1A97" w:rsidRDefault="000C6D72" w:rsidP="000C6D72">
      <w:pPr>
        <w:ind w:firstLine="708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Dotychczas opisane wyniki ewaluacji pozwalają stwierdzić, że u uczestników nastąpiła poprawa kompetencji komunikacyjnych, językowych i</w:t>
      </w:r>
      <w:r w:rsidR="005038EA">
        <w:rPr>
          <w:rFonts w:cs="Arial"/>
          <w:sz w:val="28"/>
          <w:szCs w:val="28"/>
        </w:rPr>
        <w:br/>
      </w:r>
      <w:r>
        <w:rPr>
          <w:rFonts w:cs="Arial"/>
          <w:sz w:val="28"/>
          <w:szCs w:val="28"/>
        </w:rPr>
        <w:t xml:space="preserve"> współpracy w grupie rówieśniczej. </w:t>
      </w:r>
      <w:r w:rsidRPr="000C6D72">
        <w:rPr>
          <w:rFonts w:cs="Arial"/>
          <w:sz w:val="28"/>
          <w:szCs w:val="28"/>
        </w:rPr>
        <w:t>T</w:t>
      </w:r>
      <w:r>
        <w:rPr>
          <w:rFonts w:cs="Arial"/>
          <w:sz w:val="28"/>
          <w:szCs w:val="28"/>
        </w:rPr>
        <w:t xml:space="preserve">ak wysokie wyniki </w:t>
      </w:r>
      <w:r w:rsidRPr="000C6D72">
        <w:rPr>
          <w:rFonts w:cs="Arial"/>
          <w:sz w:val="28"/>
          <w:szCs w:val="28"/>
        </w:rPr>
        <w:t>sugeruj</w:t>
      </w:r>
      <w:r>
        <w:rPr>
          <w:rFonts w:cs="Arial"/>
          <w:sz w:val="28"/>
          <w:szCs w:val="28"/>
        </w:rPr>
        <w:t>ą</w:t>
      </w:r>
      <w:r w:rsidRPr="000C6D72">
        <w:rPr>
          <w:rFonts w:cs="Arial"/>
          <w:sz w:val="28"/>
          <w:szCs w:val="28"/>
        </w:rPr>
        <w:t xml:space="preserve">, że aktywności </w:t>
      </w:r>
      <w:r>
        <w:rPr>
          <w:rFonts w:cs="Arial"/>
          <w:sz w:val="28"/>
          <w:szCs w:val="28"/>
        </w:rPr>
        <w:br/>
      </w:r>
      <w:r w:rsidRPr="000C6D72">
        <w:rPr>
          <w:rFonts w:cs="Arial"/>
          <w:sz w:val="28"/>
          <w:szCs w:val="28"/>
        </w:rPr>
        <w:lastRenderedPageBreak/>
        <w:t>i zadania realizowane</w:t>
      </w:r>
      <w:r>
        <w:rPr>
          <w:rFonts w:cs="Arial"/>
          <w:sz w:val="28"/>
          <w:szCs w:val="28"/>
        </w:rPr>
        <w:t xml:space="preserve"> </w:t>
      </w:r>
      <w:r w:rsidRPr="000C6D72">
        <w:rPr>
          <w:rFonts w:cs="Arial"/>
          <w:sz w:val="28"/>
          <w:szCs w:val="28"/>
        </w:rPr>
        <w:t>w ramach projektu były dobrze zaplanowane i skutecznie wspierały rozwój kompetencji</w:t>
      </w:r>
      <w:r>
        <w:rPr>
          <w:rFonts w:cs="Arial"/>
          <w:sz w:val="28"/>
          <w:szCs w:val="28"/>
        </w:rPr>
        <w:t xml:space="preserve"> </w:t>
      </w:r>
      <w:r w:rsidRPr="000C6D72">
        <w:rPr>
          <w:rFonts w:cs="Arial"/>
          <w:sz w:val="28"/>
          <w:szCs w:val="28"/>
        </w:rPr>
        <w:t>zespołowych.</w:t>
      </w:r>
      <w:r>
        <w:rPr>
          <w:rFonts w:cs="Arial"/>
          <w:sz w:val="28"/>
          <w:szCs w:val="28"/>
        </w:rPr>
        <w:t xml:space="preserve"> </w:t>
      </w:r>
      <w:r w:rsidRPr="000C6D72">
        <w:rPr>
          <w:rFonts w:cs="Arial"/>
          <w:sz w:val="28"/>
          <w:szCs w:val="28"/>
        </w:rPr>
        <w:t>Wyniki te podkreślają sukces projektu w przygotowywaniu uczestników do efektywnej pracy</w:t>
      </w:r>
      <w:r w:rsidR="005038EA">
        <w:rPr>
          <w:rFonts w:cs="Arial"/>
          <w:sz w:val="28"/>
          <w:szCs w:val="28"/>
        </w:rPr>
        <w:t xml:space="preserve"> </w:t>
      </w:r>
      <w:r w:rsidRPr="000C6D72">
        <w:rPr>
          <w:rFonts w:cs="Arial"/>
          <w:sz w:val="28"/>
          <w:szCs w:val="28"/>
        </w:rPr>
        <w:t>w różnorodnych zespołach, co jest kluczowe zarówno w edukacji, jak i w przyszłej karierze</w:t>
      </w:r>
      <w:r>
        <w:rPr>
          <w:rFonts w:cs="Arial"/>
          <w:sz w:val="28"/>
          <w:szCs w:val="28"/>
        </w:rPr>
        <w:t xml:space="preserve"> </w:t>
      </w:r>
      <w:r w:rsidRPr="000C6D72">
        <w:rPr>
          <w:rFonts w:cs="Arial"/>
          <w:sz w:val="28"/>
          <w:szCs w:val="28"/>
        </w:rPr>
        <w:t>zawodowej.</w:t>
      </w:r>
    </w:p>
    <w:p w14:paraId="48F14068" w14:textId="48BEB8F5" w:rsidR="00C86580" w:rsidRDefault="002D2D48" w:rsidP="00C86580">
      <w:pPr>
        <w:ind w:firstLine="708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W czasie realizowanej wymiany mieliśmy wiele spotkań z ciekawymi ludźmi, którzy prowadzą przedsiębiorstwa społeczne, są </w:t>
      </w:r>
      <w:r w:rsidR="00C86580">
        <w:rPr>
          <w:rFonts w:cs="Arial"/>
          <w:sz w:val="28"/>
          <w:szCs w:val="28"/>
        </w:rPr>
        <w:t>zaangażowani</w:t>
      </w:r>
      <w:r>
        <w:rPr>
          <w:rFonts w:cs="Arial"/>
          <w:sz w:val="28"/>
          <w:szCs w:val="28"/>
        </w:rPr>
        <w:t xml:space="preserve"> w </w:t>
      </w:r>
      <w:r w:rsidR="00C86580">
        <w:rPr>
          <w:rFonts w:cs="Arial"/>
          <w:sz w:val="28"/>
          <w:szCs w:val="28"/>
        </w:rPr>
        <w:t>działalność na rzecz dostępności</w:t>
      </w:r>
      <w:r w:rsidR="00F1233A">
        <w:rPr>
          <w:rFonts w:cs="Arial"/>
          <w:sz w:val="28"/>
          <w:szCs w:val="28"/>
        </w:rPr>
        <w:t xml:space="preserve"> cyfrowej</w:t>
      </w:r>
      <w:r w:rsidR="00C86580">
        <w:rPr>
          <w:rFonts w:cs="Arial"/>
          <w:sz w:val="28"/>
          <w:szCs w:val="28"/>
        </w:rPr>
        <w:t>, czy pracują poza granicami naszego</w:t>
      </w:r>
      <w:r w:rsidR="00EE5EF6">
        <w:rPr>
          <w:rFonts w:cs="Arial"/>
          <w:sz w:val="28"/>
          <w:szCs w:val="28"/>
        </w:rPr>
        <w:t xml:space="preserve"> kraju</w:t>
      </w:r>
      <w:r w:rsidR="00C86580">
        <w:rPr>
          <w:rFonts w:cs="Arial"/>
          <w:sz w:val="28"/>
          <w:szCs w:val="28"/>
        </w:rPr>
        <w:t>.</w:t>
      </w:r>
      <w:r w:rsidR="005038EA">
        <w:rPr>
          <w:rFonts w:cs="Arial"/>
          <w:sz w:val="28"/>
          <w:szCs w:val="28"/>
        </w:rPr>
        <w:t xml:space="preserve"> Ich opinie i propozycje rozwojowe dla uczestników stanowiły inspirację. Wymiana doświadczeń z gośćmi i poszerzenie wiedzy o otaczającym świecie pozwoliło na bardziej racjonalne podejście do własnych umiejętności, jak i porównanie ich do aktualnie panujących warunków na rynku pracy. </w:t>
      </w:r>
      <w:r w:rsidR="00C86580">
        <w:rPr>
          <w:rFonts w:cs="Arial"/>
          <w:sz w:val="28"/>
          <w:szCs w:val="28"/>
        </w:rPr>
        <w:t xml:space="preserve"> Wysoki poziom zainteresowania treściami prezentowanymi przez gości </w:t>
      </w:r>
      <w:r w:rsidR="005E6D80">
        <w:rPr>
          <w:rFonts w:cs="Arial"/>
          <w:sz w:val="28"/>
          <w:szCs w:val="28"/>
        </w:rPr>
        <w:t xml:space="preserve">(w </w:t>
      </w:r>
      <w:r w:rsidR="00966CF4">
        <w:rPr>
          <w:rFonts w:cs="Arial"/>
          <w:sz w:val="28"/>
          <w:szCs w:val="28"/>
        </w:rPr>
        <w:t>97</w:t>
      </w:r>
      <w:r w:rsidR="005E6D80">
        <w:rPr>
          <w:rFonts w:cs="Arial"/>
          <w:sz w:val="28"/>
          <w:szCs w:val="28"/>
        </w:rPr>
        <w:t xml:space="preserve">% </w:t>
      </w:r>
      <w:r w:rsidR="00966CF4">
        <w:rPr>
          <w:rFonts w:cs="Arial"/>
          <w:sz w:val="28"/>
          <w:szCs w:val="28"/>
        </w:rPr>
        <w:t>uczestników</w:t>
      </w:r>
      <w:r w:rsidR="005E6D80">
        <w:rPr>
          <w:rFonts w:cs="Arial"/>
          <w:sz w:val="28"/>
          <w:szCs w:val="28"/>
        </w:rPr>
        <w:t xml:space="preserve">) </w:t>
      </w:r>
      <w:r w:rsidR="00C86580">
        <w:rPr>
          <w:rFonts w:cs="Arial"/>
          <w:sz w:val="28"/>
          <w:szCs w:val="28"/>
        </w:rPr>
        <w:t xml:space="preserve">przedstawia poniższy wykres. </w:t>
      </w:r>
    </w:p>
    <w:p w14:paraId="51D5D99C" w14:textId="607DAC36" w:rsidR="00C86580" w:rsidRDefault="00C86580" w:rsidP="00C86580">
      <w:pPr>
        <w:ind w:firstLine="708"/>
        <w:rPr>
          <w:rFonts w:cs="Arial"/>
          <w:sz w:val="28"/>
          <w:szCs w:val="28"/>
        </w:rPr>
      </w:pPr>
      <w:r>
        <w:rPr>
          <w:rFonts w:cs="Arial"/>
          <w:noProof/>
          <w:sz w:val="28"/>
          <w:szCs w:val="28"/>
        </w:rPr>
        <w:drawing>
          <wp:inline distT="0" distB="0" distL="0" distR="0" wp14:anchorId="50446AC2" wp14:editId="630137CE">
            <wp:extent cx="5915891" cy="3297382"/>
            <wp:effectExtent l="0" t="0" r="8890" b="17780"/>
            <wp:docPr id="1822913034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4D4973D" w14:textId="48EAACC6" w:rsidR="002D2D48" w:rsidRDefault="00966CF4" w:rsidP="00795B1C">
      <w:pPr>
        <w:ind w:firstLine="708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Jak wynika z opinii uczestników przykłady osób działających w środowisku </w:t>
      </w:r>
      <w:r w:rsidR="00EE5EF6">
        <w:rPr>
          <w:rFonts w:cs="Arial"/>
          <w:sz w:val="28"/>
          <w:szCs w:val="28"/>
        </w:rPr>
        <w:t xml:space="preserve">niewidomych i słabowidzących </w:t>
      </w:r>
      <w:r>
        <w:rPr>
          <w:rFonts w:cs="Arial"/>
          <w:sz w:val="28"/>
          <w:szCs w:val="28"/>
        </w:rPr>
        <w:t>oraz prowadzących przedsiębiorstwa społeczne pozytywnie wpłynęły na poziom motywacji do dalszego rozwoju i podnoszenia kompetencji (nie tylko cyfrowych).</w:t>
      </w:r>
      <w:r w:rsidR="004B574A">
        <w:rPr>
          <w:rFonts w:cs="Arial"/>
          <w:sz w:val="28"/>
          <w:szCs w:val="28"/>
        </w:rPr>
        <w:t xml:space="preserve"> A warsztaty z przedstawicielkami Ośrodka Wspierania Ekonomii Społecznej w Jeleniej Górze odpowiedziały na pytanie, czy przedsiębiorstwa społeczne prowadzone przez niewidomych mają sens i jak można wspierać osoby niepełnosprawne w zakładaniu i prowadzeniu przedsiębiorstw społecznych. Wizyta studyjna i spotkania z gośćmi uświadomiły </w:t>
      </w:r>
      <w:r w:rsidR="00EE5EF6">
        <w:rPr>
          <w:rFonts w:cs="Arial"/>
          <w:sz w:val="28"/>
          <w:szCs w:val="28"/>
        </w:rPr>
        <w:t xml:space="preserve">uczestnikom, że aby zaistnieć na rynku pracy muszą zdecydowanie podnieść </w:t>
      </w:r>
      <w:r w:rsidR="004B574A">
        <w:rPr>
          <w:rFonts w:cs="Arial"/>
          <w:sz w:val="28"/>
          <w:szCs w:val="28"/>
        </w:rPr>
        <w:t xml:space="preserve">poziom </w:t>
      </w:r>
      <w:r w:rsidR="00EE5EF6">
        <w:rPr>
          <w:rFonts w:cs="Arial"/>
          <w:sz w:val="28"/>
          <w:szCs w:val="28"/>
        </w:rPr>
        <w:t>sw</w:t>
      </w:r>
      <w:r w:rsidR="004B574A">
        <w:rPr>
          <w:rFonts w:cs="Arial"/>
          <w:sz w:val="28"/>
          <w:szCs w:val="28"/>
        </w:rPr>
        <w:t>oich</w:t>
      </w:r>
      <w:r w:rsidR="00EE5EF6">
        <w:rPr>
          <w:rFonts w:cs="Arial"/>
          <w:sz w:val="28"/>
          <w:szCs w:val="28"/>
        </w:rPr>
        <w:t xml:space="preserve"> kompetencji cyfrowych i społecznych. Warsztat autodiagnozy </w:t>
      </w:r>
      <w:r w:rsidR="004B574A">
        <w:rPr>
          <w:rFonts w:cs="Arial"/>
          <w:sz w:val="28"/>
          <w:szCs w:val="28"/>
        </w:rPr>
        <w:br/>
      </w:r>
      <w:r w:rsidR="00EE5EF6">
        <w:rPr>
          <w:rFonts w:cs="Arial"/>
          <w:sz w:val="28"/>
          <w:szCs w:val="28"/>
        </w:rPr>
        <w:t xml:space="preserve">i badania osobowości uświadomił uczestnikom, że proces budowy </w:t>
      </w:r>
      <w:r w:rsidR="004B574A">
        <w:rPr>
          <w:rFonts w:cs="Arial"/>
          <w:sz w:val="28"/>
          <w:szCs w:val="28"/>
        </w:rPr>
        <w:t xml:space="preserve"> p</w:t>
      </w:r>
      <w:r w:rsidR="00EE5EF6">
        <w:rPr>
          <w:rFonts w:cs="Arial"/>
          <w:sz w:val="28"/>
          <w:szCs w:val="28"/>
        </w:rPr>
        <w:t xml:space="preserve">rzedsiębiorstwa społecznego wymaga wielu umiejętności, które dopiero muszą </w:t>
      </w:r>
      <w:r w:rsidR="00EE5EF6">
        <w:rPr>
          <w:rFonts w:cs="Arial"/>
          <w:sz w:val="28"/>
          <w:szCs w:val="28"/>
        </w:rPr>
        <w:lastRenderedPageBreak/>
        <w:t xml:space="preserve">nabyć uczestnicy. Zrewidował on również koncepcje (pomysły na biznesy), jakie pierwotnie mieli uczestnicy wymiany. W ramach ewaluacji zajęć i </w:t>
      </w:r>
      <w:r w:rsidR="004B574A">
        <w:rPr>
          <w:rFonts w:cs="Arial"/>
          <w:sz w:val="28"/>
          <w:szCs w:val="28"/>
        </w:rPr>
        <w:t>sesji komunikacji zwrotnej</w:t>
      </w:r>
      <w:r w:rsidR="00EE5EF6">
        <w:rPr>
          <w:rFonts w:cs="Arial"/>
          <w:sz w:val="28"/>
          <w:szCs w:val="28"/>
        </w:rPr>
        <w:t xml:space="preserve"> ustalono, że pomysły na biznesy mają odnosić się do rzeczywistych umiejętności posiadanych przez uczestników i opierać się mają na wykorzystaniu technologii do budowania potencjału projektowanych przedsiębiorstw</w:t>
      </w:r>
      <w:r w:rsidR="00414E6C">
        <w:rPr>
          <w:rFonts w:cs="Arial"/>
          <w:sz w:val="28"/>
          <w:szCs w:val="28"/>
        </w:rPr>
        <w:t xml:space="preserve"> np. sklepy internetowe, usługi marketingowe w Internecie, prowadzenie stron internetowych z wykorzystaniem standardów dostępności cyfrowej. </w:t>
      </w:r>
    </w:p>
    <w:p w14:paraId="540976F4" w14:textId="34463B39" w:rsidR="00734EF0" w:rsidRDefault="009449E0" w:rsidP="00795B1C">
      <w:pPr>
        <w:ind w:firstLine="708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Wśród badanych uczestników wymiany ocenie poddano akceptację swojej niepełnosprawności</w:t>
      </w:r>
      <w:r w:rsidR="006C0A3F">
        <w:rPr>
          <w:rFonts w:cs="Arial"/>
          <w:sz w:val="28"/>
          <w:szCs w:val="28"/>
        </w:rPr>
        <w:t xml:space="preserve"> w kontekście rozwoju kompetencji przedsiębiorczych. Akceptuje swoją niepełnosprawność 6</w:t>
      </w:r>
      <w:r w:rsidR="00AE1A97">
        <w:rPr>
          <w:rFonts w:cs="Arial"/>
          <w:sz w:val="28"/>
          <w:szCs w:val="28"/>
        </w:rPr>
        <w:t>0</w:t>
      </w:r>
      <w:r w:rsidR="006C0A3F">
        <w:rPr>
          <w:rFonts w:cs="Arial"/>
          <w:sz w:val="28"/>
          <w:szCs w:val="28"/>
        </w:rPr>
        <w:t xml:space="preserve">% badanych na początku wymiany. Natomiast w badaniu końcowym ten odsetek nieznacznie się zmienił i wyniósł </w:t>
      </w:r>
      <w:r w:rsidR="00AE1A97">
        <w:rPr>
          <w:rFonts w:cs="Arial"/>
          <w:sz w:val="28"/>
          <w:szCs w:val="28"/>
        </w:rPr>
        <w:t>65</w:t>
      </w:r>
      <w:r w:rsidR="006C0A3F">
        <w:rPr>
          <w:rFonts w:cs="Arial"/>
          <w:sz w:val="28"/>
          <w:szCs w:val="28"/>
        </w:rPr>
        <w:t xml:space="preserve">%. Akceptacja niepełnosprawności własnej uczestników była bardzo ważnym aspektem </w:t>
      </w:r>
      <w:r w:rsidR="000D72DF">
        <w:rPr>
          <w:rFonts w:cs="Arial"/>
          <w:sz w:val="28"/>
          <w:szCs w:val="28"/>
        </w:rPr>
        <w:t xml:space="preserve">w kontekście pracy na warsztatach oraz przygotowaniu koncepcji przedsiębiorstw społecznych. </w:t>
      </w:r>
      <w:r w:rsidR="00414E6C">
        <w:rPr>
          <w:rFonts w:cs="Arial"/>
          <w:sz w:val="28"/>
          <w:szCs w:val="28"/>
        </w:rPr>
        <w:t xml:space="preserve">Pozwoliła na racjonalną ocenę samego siebie i odniesieni poziomu kompetencji do pozostałych uczestników z tą samą niepełnosprawnością. </w:t>
      </w:r>
      <w:r w:rsidR="004B574A">
        <w:rPr>
          <w:rFonts w:cs="Arial"/>
          <w:sz w:val="28"/>
          <w:szCs w:val="28"/>
        </w:rPr>
        <w:t xml:space="preserve">W ocenie realizatora wymiany młodzieży jest to aspekt, na którym należy w szczególności pracować w kontekście przyszłych projektów. Akceptacja swojej niepełnosprawności oraz budowanie poczucia sprawstwa i kompetencji twardych wymagają w przyszłości interwencji. Jest to podstawa do kolejnych projektów, których celem będzie budowanie poczucia własnej wartości, twardych kompetencji ICT, czy rozwoju motywacji do podejmowania wyzwań związanych z budowanie pozycji na rynku pracy. </w:t>
      </w:r>
    </w:p>
    <w:p w14:paraId="32ADBBBB" w14:textId="45D93FC8" w:rsidR="000D72DF" w:rsidRDefault="000D72DF" w:rsidP="00734EF0">
      <w:pPr>
        <w:ind w:firstLine="708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Uczestnicy wskazali również, że poziom umiejętności posługiwania się technologiami asystującymi (programami mówiącymi, powiększająco-mówiącymi czy powiększającymi jest na przeciętnym poziomie. Niestety po realizacji wymiany nie uległ on zmianie. Tylko 35% uczestników uznało poziom kompetencji ITC za wysoki. </w:t>
      </w:r>
    </w:p>
    <w:p w14:paraId="73662485" w14:textId="1CDF1BBE" w:rsidR="00437FF9" w:rsidRDefault="000D72DF" w:rsidP="006C0A3F">
      <w:pPr>
        <w:rPr>
          <w:rFonts w:cs="Arial"/>
          <w:sz w:val="28"/>
          <w:szCs w:val="28"/>
        </w:rPr>
      </w:pPr>
      <w:r>
        <w:rPr>
          <w:rFonts w:cs="Arial"/>
          <w:noProof/>
          <w:sz w:val="28"/>
          <w:szCs w:val="28"/>
        </w:rPr>
        <w:lastRenderedPageBreak/>
        <w:drawing>
          <wp:inline distT="0" distB="0" distL="0" distR="0" wp14:anchorId="3638119B" wp14:editId="5C3A35E6">
            <wp:extent cx="5486400" cy="3200400"/>
            <wp:effectExtent l="0" t="0" r="0" b="0"/>
            <wp:docPr id="186758385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6C0A3F">
        <w:rPr>
          <w:rFonts w:cs="Arial"/>
          <w:sz w:val="28"/>
          <w:szCs w:val="28"/>
        </w:rPr>
        <w:t xml:space="preserve"> </w:t>
      </w:r>
    </w:p>
    <w:p w14:paraId="7F3EA928" w14:textId="037CCA91" w:rsidR="00736F7C" w:rsidRDefault="00AA2E3F" w:rsidP="00130780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736F7C">
        <w:rPr>
          <w:rFonts w:cs="Arial"/>
          <w:sz w:val="28"/>
          <w:szCs w:val="28"/>
        </w:rPr>
        <w:t>W czasie wymiany ewaluacji poddano proces przygotowania</w:t>
      </w:r>
      <w:r w:rsidR="00B90C6D">
        <w:rPr>
          <w:rFonts w:cs="Arial"/>
          <w:sz w:val="28"/>
          <w:szCs w:val="28"/>
        </w:rPr>
        <w:br/>
      </w:r>
      <w:r w:rsidR="00736F7C">
        <w:rPr>
          <w:rFonts w:cs="Arial"/>
          <w:sz w:val="28"/>
          <w:szCs w:val="28"/>
        </w:rPr>
        <w:t xml:space="preserve"> i zastosowania wśród użytkowników pomocy dydaktycznych w brajlu </w:t>
      </w:r>
      <w:r w:rsidR="00B90C6D">
        <w:rPr>
          <w:rFonts w:cs="Arial"/>
          <w:sz w:val="28"/>
          <w:szCs w:val="28"/>
        </w:rPr>
        <w:br/>
      </w:r>
      <w:r w:rsidR="00736F7C">
        <w:rPr>
          <w:rFonts w:cs="Arial"/>
          <w:sz w:val="28"/>
          <w:szCs w:val="28"/>
        </w:rPr>
        <w:t xml:space="preserve">i powiększonym druku. Prowadzący zajęcia przygotowali materiały w piśmie punktowym brajla oraz pomoce dotykowe oraz w powiększonym druku. Użytkownicy potwierdzili wysoki poziom przydatności materiałów, jednak wskazali na niewielkie poprawki czytelności materiałów graficznych. </w:t>
      </w:r>
      <w:r w:rsidR="00736F7C">
        <w:rPr>
          <w:rFonts w:cs="Arial"/>
          <w:sz w:val="28"/>
          <w:szCs w:val="28"/>
        </w:rPr>
        <w:tab/>
        <w:t xml:space="preserve">Zakres merytoryczny materiałów oraz treści były zrozumiałe dla odbiorców. </w:t>
      </w:r>
    </w:p>
    <w:p w14:paraId="6EAD4703" w14:textId="77777777" w:rsidR="00736F7C" w:rsidRDefault="00736F7C" w:rsidP="00130780">
      <w:pPr>
        <w:rPr>
          <w:rFonts w:cs="Arial"/>
          <w:sz w:val="28"/>
          <w:szCs w:val="28"/>
        </w:rPr>
      </w:pPr>
    </w:p>
    <w:p w14:paraId="3AE428AD" w14:textId="77777777" w:rsidR="00736F7C" w:rsidRDefault="00736F7C" w:rsidP="00130780">
      <w:pPr>
        <w:rPr>
          <w:rFonts w:cs="Arial"/>
          <w:sz w:val="28"/>
          <w:szCs w:val="28"/>
        </w:rPr>
      </w:pPr>
    </w:p>
    <w:p w14:paraId="3DBA453A" w14:textId="49F5CDAA" w:rsidR="00736F7C" w:rsidRDefault="00736F7C" w:rsidP="00736F7C">
      <w:pPr>
        <w:pStyle w:val="Nagwek2"/>
      </w:pPr>
      <w:r>
        <w:t>Wnioski w realizacji wymiany młodzieży</w:t>
      </w:r>
    </w:p>
    <w:p w14:paraId="26FDACA4" w14:textId="77777777" w:rsidR="00736F7C" w:rsidRDefault="00736F7C" w:rsidP="00736F7C"/>
    <w:p w14:paraId="3E31095F" w14:textId="72FA076D" w:rsidR="00736F7C" w:rsidRDefault="00736F7C" w:rsidP="00736F7C">
      <w:pPr>
        <w:ind w:firstLine="708"/>
      </w:pPr>
      <w:r>
        <w:t>Uczestnicy wymiany młodzieży w podsumowaniu zwrócili uwagę na następujące aspekty:</w:t>
      </w:r>
    </w:p>
    <w:p w14:paraId="482CD22C" w14:textId="6B3FA730" w:rsidR="00B90C6D" w:rsidRDefault="00B90C6D" w:rsidP="00B90C6D">
      <w:pPr>
        <w:pStyle w:val="Akapitzlist"/>
        <w:numPr>
          <w:ilvl w:val="0"/>
          <w:numId w:val="29"/>
        </w:numPr>
      </w:pPr>
      <w:r>
        <w:t xml:space="preserve">Otrzymali wiele pozytywnych wzmocnień oraz miłych słów od rówieśników, </w:t>
      </w:r>
    </w:p>
    <w:p w14:paraId="2824ACE9" w14:textId="3EEB50A8" w:rsidR="00B90C6D" w:rsidRDefault="00B90C6D" w:rsidP="00B90C6D">
      <w:pPr>
        <w:pStyle w:val="Akapitzlist"/>
        <w:numPr>
          <w:ilvl w:val="0"/>
          <w:numId w:val="29"/>
        </w:numPr>
      </w:pPr>
      <w:r>
        <w:t xml:space="preserve">Jakość materiałów do pracy była adekwatna do potrzeb uczestników, </w:t>
      </w:r>
    </w:p>
    <w:p w14:paraId="6BA3527A" w14:textId="2D3A42B9" w:rsidR="00B90C6D" w:rsidRDefault="00B90C6D" w:rsidP="00B90C6D">
      <w:pPr>
        <w:pStyle w:val="Akapitzlist"/>
        <w:numPr>
          <w:ilvl w:val="0"/>
          <w:numId w:val="29"/>
        </w:numPr>
      </w:pPr>
      <w:r>
        <w:t xml:space="preserve">Ciekawi goście na zajęciach i podczas spotkań, </w:t>
      </w:r>
    </w:p>
    <w:p w14:paraId="3E0DE576" w14:textId="3C9D794B" w:rsidR="00B90C6D" w:rsidRDefault="00B90C6D" w:rsidP="00B90C6D">
      <w:pPr>
        <w:pStyle w:val="Akapitzlist"/>
        <w:numPr>
          <w:ilvl w:val="0"/>
          <w:numId w:val="29"/>
        </w:numPr>
      </w:pPr>
      <w:r>
        <w:t xml:space="preserve">Miła atmosfera budująca porozumienie pomiędzy uczestnikami, </w:t>
      </w:r>
    </w:p>
    <w:p w14:paraId="25E8E88A" w14:textId="55D7DBE4" w:rsidR="00B90C6D" w:rsidRDefault="00B90C6D" w:rsidP="00FC22E7">
      <w:pPr>
        <w:pStyle w:val="Akapitzlist"/>
        <w:numPr>
          <w:ilvl w:val="0"/>
          <w:numId w:val="29"/>
        </w:numPr>
      </w:pPr>
      <w:r>
        <w:t xml:space="preserve">Fajni i merytorycznie przygotowani prowadzący, </w:t>
      </w:r>
    </w:p>
    <w:p w14:paraId="763ABF38" w14:textId="3C8E65C3" w:rsidR="00B90C6D" w:rsidRDefault="00B90C6D" w:rsidP="00FC22E7">
      <w:pPr>
        <w:pStyle w:val="Akapitzlist"/>
        <w:numPr>
          <w:ilvl w:val="0"/>
          <w:numId w:val="29"/>
        </w:numPr>
      </w:pPr>
      <w:r>
        <w:t xml:space="preserve">Ciekawe miejsca odwiedzane w czasie wymiany, </w:t>
      </w:r>
    </w:p>
    <w:p w14:paraId="4EB5D519" w14:textId="3B812EF2" w:rsidR="00FA1829" w:rsidRDefault="00FA1829" w:rsidP="00FA1829">
      <w:pPr>
        <w:pStyle w:val="Akapitzlist"/>
        <w:numPr>
          <w:ilvl w:val="0"/>
          <w:numId w:val="29"/>
        </w:numPr>
      </w:pPr>
      <w:r>
        <w:t>Bardzo dobra lokalizacja hotelu i miejsca realizacji zajęć.</w:t>
      </w:r>
    </w:p>
    <w:p w14:paraId="612E4D80" w14:textId="4F3C4835" w:rsidR="00EE450D" w:rsidRDefault="00EE450D" w:rsidP="00EE450D">
      <w:r>
        <w:lastRenderedPageBreak/>
        <w:t xml:space="preserve">Ogólny przekaz dodatkowych wypowiedzi uczestników świadczy o wyjątkowo pozytywnych wrażeniach związanych z projektem. Uczestnicy chwalą projekt za organizację (pomimo zagrożenia powodziowego), niezapomniane doświadczenia i emocjonalne zaangażowanie. Zdaniem organizatorów projekt spełnił zakładane przez młodzież rezultaty. Pomógł uświadomić możliwości zaistnienia na rynku pracy, również poprzez działalność w przedsiębiorstwach społecznych. </w:t>
      </w:r>
    </w:p>
    <w:p w14:paraId="0D09C339" w14:textId="77777777" w:rsidR="00EE450D" w:rsidRDefault="00EE450D" w:rsidP="00EE450D">
      <w:pPr>
        <w:pStyle w:val="Nagwek2"/>
      </w:pPr>
    </w:p>
    <w:p w14:paraId="4ED6675C" w14:textId="19F9539F" w:rsidR="00EE450D" w:rsidRDefault="00EE450D" w:rsidP="00EE450D">
      <w:pPr>
        <w:pStyle w:val="Nagwek2"/>
      </w:pPr>
      <w:r>
        <w:t>Podsumowanie</w:t>
      </w:r>
    </w:p>
    <w:p w14:paraId="326A7FD8" w14:textId="77777777" w:rsidR="00EE450D" w:rsidRPr="00EE450D" w:rsidRDefault="00EE450D" w:rsidP="00EE450D"/>
    <w:p w14:paraId="54246F85" w14:textId="04C446DC" w:rsidR="00EE450D" w:rsidRDefault="00EE450D" w:rsidP="00EE450D">
      <w:r>
        <w:t>Realizacja projektu przyniosła spodziewane efekty. Droga do nich nie zawsze była prosta ale cele został osiągnięte. Poprawił percepcję kultury kraju partnerskiego oraz rozwinął  kluczowe kompetencje  międzykulturowe uczestników.</w:t>
      </w:r>
    </w:p>
    <w:p w14:paraId="1F4FF021" w14:textId="737A2479" w:rsidR="00EE450D" w:rsidRDefault="00EE450D" w:rsidP="00EE450D">
      <w:r>
        <w:t xml:space="preserve">Uczestnicy współorganizując projekt, po jego realizacji docenili zaplanowanie działania i sposób realizacji. Jego wpływ na budowanie międzynarodowych relacji oraz pozytywne doświadczenia związane z wymianą kulturową pozostaną w uczestnikach na wiele lat. </w:t>
      </w:r>
    </w:p>
    <w:p w14:paraId="76BF3EF7" w14:textId="122F4EFE" w:rsidR="00EE450D" w:rsidRDefault="00EE450D" w:rsidP="00EE450D">
      <w:r>
        <w:t>Wnioski płynące z wyników ewaluacji sugerują, że projekt był niezwykle ważny dla środowiska osób niewidomych i słabowidzących. Stał się cennym doświadczeniem dla uczestników  oraz rozwinął  ich umiejętności na wielu sferach funkcjonowania.</w:t>
      </w:r>
    </w:p>
    <w:p w14:paraId="185CB204" w14:textId="77777777" w:rsidR="00FA1829" w:rsidRDefault="00FA1829" w:rsidP="00FA1829"/>
    <w:p w14:paraId="3A7D6A0F" w14:textId="72F64468" w:rsidR="00FA1829" w:rsidRDefault="00FA1829" w:rsidP="00FA1829"/>
    <w:sectPr w:rsidR="00FA1829" w:rsidSect="00EC0600">
      <w:headerReference w:type="default" r:id="rId13"/>
      <w:pgSz w:w="11906" w:h="16838"/>
      <w:pgMar w:top="624" w:right="849" w:bottom="624" w:left="96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19527" w14:textId="77777777" w:rsidR="00A05CA3" w:rsidRDefault="00A05CA3" w:rsidP="008557C9">
      <w:pPr>
        <w:spacing w:after="0" w:line="240" w:lineRule="auto"/>
      </w:pPr>
      <w:r>
        <w:separator/>
      </w:r>
    </w:p>
  </w:endnote>
  <w:endnote w:type="continuationSeparator" w:id="0">
    <w:p w14:paraId="46A51416" w14:textId="77777777" w:rsidR="00A05CA3" w:rsidRDefault="00A05CA3" w:rsidP="00855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80C4B" w14:textId="77777777" w:rsidR="00A05CA3" w:rsidRDefault="00A05CA3" w:rsidP="008557C9">
      <w:pPr>
        <w:spacing w:after="0" w:line="240" w:lineRule="auto"/>
      </w:pPr>
      <w:r>
        <w:separator/>
      </w:r>
    </w:p>
  </w:footnote>
  <w:footnote w:type="continuationSeparator" w:id="0">
    <w:p w14:paraId="1034886B" w14:textId="77777777" w:rsidR="00A05CA3" w:rsidRDefault="00A05CA3" w:rsidP="00855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233374"/>
      <w:docPartObj>
        <w:docPartGallery w:val="Page Numbers (Top of Page)"/>
        <w:docPartUnique/>
      </w:docPartObj>
    </w:sdtPr>
    <w:sdtContent>
      <w:p w14:paraId="0388FD46" w14:textId="183D410F" w:rsidR="00EC0600" w:rsidRDefault="00EC0600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6BE893" w14:textId="6D707ACA" w:rsidR="008557C9" w:rsidRDefault="008557C9" w:rsidP="00E347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67213"/>
    <w:multiLevelType w:val="hybridMultilevel"/>
    <w:tmpl w:val="DE6EDBB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E5AE7"/>
    <w:multiLevelType w:val="hybridMultilevel"/>
    <w:tmpl w:val="229410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BE865DA"/>
    <w:multiLevelType w:val="hybridMultilevel"/>
    <w:tmpl w:val="59906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F36D5"/>
    <w:multiLevelType w:val="hybridMultilevel"/>
    <w:tmpl w:val="BE508770"/>
    <w:lvl w:ilvl="0" w:tplc="CC6017E0">
      <w:start w:val="1"/>
      <w:numFmt w:val="decimal"/>
      <w:lvlText w:val="%1."/>
      <w:lvlJc w:val="left"/>
      <w:pPr>
        <w:tabs>
          <w:tab w:val="num" w:pos="539"/>
        </w:tabs>
        <w:ind w:left="539" w:hanging="494"/>
      </w:pPr>
      <w:rPr>
        <w:rFonts w:hint="default"/>
      </w:rPr>
    </w:lvl>
    <w:lvl w:ilvl="1" w:tplc="E1F0519C">
      <w:start w:val="1"/>
      <w:numFmt w:val="decimal"/>
      <w:lvlText w:val="%2."/>
      <w:lvlJc w:val="left"/>
      <w:pPr>
        <w:tabs>
          <w:tab w:val="num" w:pos="539"/>
        </w:tabs>
        <w:ind w:left="539" w:hanging="49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6017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CF4FA6"/>
    <w:multiLevelType w:val="hybridMultilevel"/>
    <w:tmpl w:val="F29A932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BAE10FF"/>
    <w:multiLevelType w:val="hybridMultilevel"/>
    <w:tmpl w:val="5296CA8C"/>
    <w:lvl w:ilvl="0" w:tplc="2B34E06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6" w15:restartNumberingAfterBreak="0">
    <w:nsid w:val="28730DC1"/>
    <w:multiLevelType w:val="hybridMultilevel"/>
    <w:tmpl w:val="F29A932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A431193"/>
    <w:multiLevelType w:val="hybridMultilevel"/>
    <w:tmpl w:val="F29A932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E984075"/>
    <w:multiLevelType w:val="hybridMultilevel"/>
    <w:tmpl w:val="AE380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7D0713"/>
    <w:multiLevelType w:val="hybridMultilevel"/>
    <w:tmpl w:val="02CED69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52A5681"/>
    <w:multiLevelType w:val="hybridMultilevel"/>
    <w:tmpl w:val="ADB4624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A41127D"/>
    <w:multiLevelType w:val="hybridMultilevel"/>
    <w:tmpl w:val="472CFA3A"/>
    <w:lvl w:ilvl="0" w:tplc="E56263C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E56263C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6123C"/>
    <w:multiLevelType w:val="hybridMultilevel"/>
    <w:tmpl w:val="84F66D2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5FC1BE8"/>
    <w:multiLevelType w:val="hybridMultilevel"/>
    <w:tmpl w:val="E5E28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0814B9"/>
    <w:multiLevelType w:val="hybridMultilevel"/>
    <w:tmpl w:val="BC5A64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DA4ACB"/>
    <w:multiLevelType w:val="hybridMultilevel"/>
    <w:tmpl w:val="3682897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12C4C5F"/>
    <w:multiLevelType w:val="hybridMultilevel"/>
    <w:tmpl w:val="0C0A26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5D2351"/>
    <w:multiLevelType w:val="hybridMultilevel"/>
    <w:tmpl w:val="F63CF1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E36659"/>
    <w:multiLevelType w:val="hybridMultilevel"/>
    <w:tmpl w:val="67D61C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8C78C9"/>
    <w:multiLevelType w:val="hybridMultilevel"/>
    <w:tmpl w:val="F17CDE3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48A42D1"/>
    <w:multiLevelType w:val="hybridMultilevel"/>
    <w:tmpl w:val="F6C0EC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B36E34"/>
    <w:multiLevelType w:val="hybridMultilevel"/>
    <w:tmpl w:val="D304F98E"/>
    <w:lvl w:ilvl="0" w:tplc="AFC4A7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736204E"/>
    <w:multiLevelType w:val="hybridMultilevel"/>
    <w:tmpl w:val="84F66D2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7595099"/>
    <w:multiLevelType w:val="hybridMultilevel"/>
    <w:tmpl w:val="C5920D0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237A8"/>
    <w:multiLevelType w:val="hybridMultilevel"/>
    <w:tmpl w:val="CFF0B0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EBA00DC"/>
    <w:multiLevelType w:val="hybridMultilevel"/>
    <w:tmpl w:val="368293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9136884">
    <w:abstractNumId w:val="24"/>
  </w:num>
  <w:num w:numId="2" w16cid:durableId="1468010774">
    <w:abstractNumId w:val="8"/>
  </w:num>
  <w:num w:numId="3" w16cid:durableId="230237143">
    <w:abstractNumId w:val="19"/>
  </w:num>
  <w:num w:numId="4" w16cid:durableId="859129466">
    <w:abstractNumId w:val="11"/>
  </w:num>
  <w:num w:numId="5" w16cid:durableId="618727394">
    <w:abstractNumId w:val="2"/>
  </w:num>
  <w:num w:numId="6" w16cid:durableId="308706053">
    <w:abstractNumId w:val="13"/>
  </w:num>
  <w:num w:numId="7" w16cid:durableId="781923625">
    <w:abstractNumId w:val="14"/>
  </w:num>
  <w:num w:numId="8" w16cid:durableId="179316298">
    <w:abstractNumId w:val="17"/>
  </w:num>
  <w:num w:numId="9" w16cid:durableId="398020001">
    <w:abstractNumId w:val="3"/>
  </w:num>
  <w:num w:numId="10" w16cid:durableId="842402252">
    <w:abstractNumId w:val="23"/>
  </w:num>
  <w:num w:numId="11" w16cid:durableId="533856271">
    <w:abstractNumId w:val="10"/>
  </w:num>
  <w:num w:numId="12" w16cid:durableId="702362827">
    <w:abstractNumId w:val="9"/>
  </w:num>
  <w:num w:numId="13" w16cid:durableId="1421215906">
    <w:abstractNumId w:val="5"/>
  </w:num>
  <w:num w:numId="14" w16cid:durableId="2117362203">
    <w:abstractNumId w:val="15"/>
  </w:num>
  <w:num w:numId="15" w16cid:durableId="363558676">
    <w:abstractNumId w:val="18"/>
  </w:num>
  <w:num w:numId="16" w16cid:durableId="934480868">
    <w:abstractNumId w:val="16"/>
  </w:num>
  <w:num w:numId="17" w16cid:durableId="2126345152">
    <w:abstractNumId w:val="20"/>
  </w:num>
  <w:num w:numId="18" w16cid:durableId="1644579435">
    <w:abstractNumId w:val="25"/>
  </w:num>
  <w:num w:numId="19" w16cid:durableId="1865242852">
    <w:abstractNumId w:val="1"/>
  </w:num>
  <w:num w:numId="20" w16cid:durableId="1682122428">
    <w:abstractNumId w:val="6"/>
  </w:num>
  <w:num w:numId="21" w16cid:durableId="1032268415">
    <w:abstractNumId w:val="12"/>
  </w:num>
  <w:num w:numId="22" w16cid:durableId="558631520">
    <w:abstractNumId w:val="7"/>
  </w:num>
  <w:num w:numId="23" w16cid:durableId="1439175373">
    <w:abstractNumId w:val="22"/>
  </w:num>
  <w:num w:numId="24" w16cid:durableId="1143425405">
    <w:abstractNumId w:val="0"/>
  </w:num>
  <w:num w:numId="25" w16cid:durableId="1691443568">
    <w:abstractNumId w:val="4"/>
  </w:num>
  <w:num w:numId="26" w16cid:durableId="50902820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965600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74386208">
    <w:abstractNumId w:val="11"/>
  </w:num>
  <w:num w:numId="29" w16cid:durableId="16646292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7C9"/>
    <w:rsid w:val="00035A78"/>
    <w:rsid w:val="00036E6A"/>
    <w:rsid w:val="00072AAF"/>
    <w:rsid w:val="000A396D"/>
    <w:rsid w:val="000C6D72"/>
    <w:rsid w:val="000D5E33"/>
    <w:rsid w:val="000D72DF"/>
    <w:rsid w:val="001178F3"/>
    <w:rsid w:val="00130780"/>
    <w:rsid w:val="00157197"/>
    <w:rsid w:val="00167AA1"/>
    <w:rsid w:val="001A0272"/>
    <w:rsid w:val="00210ECF"/>
    <w:rsid w:val="0027681D"/>
    <w:rsid w:val="00276B30"/>
    <w:rsid w:val="002858CD"/>
    <w:rsid w:val="00286998"/>
    <w:rsid w:val="002D10E1"/>
    <w:rsid w:val="002D2D48"/>
    <w:rsid w:val="002F582F"/>
    <w:rsid w:val="00372380"/>
    <w:rsid w:val="00373077"/>
    <w:rsid w:val="00396C08"/>
    <w:rsid w:val="003A5947"/>
    <w:rsid w:val="003D6DA4"/>
    <w:rsid w:val="00414E6C"/>
    <w:rsid w:val="00433E7F"/>
    <w:rsid w:val="00437FF9"/>
    <w:rsid w:val="00492D50"/>
    <w:rsid w:val="004B574A"/>
    <w:rsid w:val="004D00BA"/>
    <w:rsid w:val="004D4219"/>
    <w:rsid w:val="004E7B01"/>
    <w:rsid w:val="005038EA"/>
    <w:rsid w:val="00551A79"/>
    <w:rsid w:val="005605BF"/>
    <w:rsid w:val="005822D0"/>
    <w:rsid w:val="005A2368"/>
    <w:rsid w:val="005B42E6"/>
    <w:rsid w:val="005E1DB3"/>
    <w:rsid w:val="005E6D80"/>
    <w:rsid w:val="005F59B6"/>
    <w:rsid w:val="00605691"/>
    <w:rsid w:val="006137D5"/>
    <w:rsid w:val="006536D6"/>
    <w:rsid w:val="00663D22"/>
    <w:rsid w:val="006A2F91"/>
    <w:rsid w:val="006B73F6"/>
    <w:rsid w:val="006C0A3F"/>
    <w:rsid w:val="006C24E4"/>
    <w:rsid w:val="007248FD"/>
    <w:rsid w:val="00734EF0"/>
    <w:rsid w:val="00736F7C"/>
    <w:rsid w:val="0074416C"/>
    <w:rsid w:val="00744681"/>
    <w:rsid w:val="007811C1"/>
    <w:rsid w:val="00785FF5"/>
    <w:rsid w:val="007936DB"/>
    <w:rsid w:val="00795B1C"/>
    <w:rsid w:val="007D776E"/>
    <w:rsid w:val="00800FA8"/>
    <w:rsid w:val="008475A2"/>
    <w:rsid w:val="00852C31"/>
    <w:rsid w:val="008557C9"/>
    <w:rsid w:val="008B1FF0"/>
    <w:rsid w:val="008B4118"/>
    <w:rsid w:val="008D37CB"/>
    <w:rsid w:val="00900FDD"/>
    <w:rsid w:val="009230C5"/>
    <w:rsid w:val="00931B35"/>
    <w:rsid w:val="009449E0"/>
    <w:rsid w:val="00957D77"/>
    <w:rsid w:val="00966CF4"/>
    <w:rsid w:val="00985073"/>
    <w:rsid w:val="009C158D"/>
    <w:rsid w:val="009C6727"/>
    <w:rsid w:val="009E424F"/>
    <w:rsid w:val="009F5B77"/>
    <w:rsid w:val="00A05CA3"/>
    <w:rsid w:val="00A24AE0"/>
    <w:rsid w:val="00A34061"/>
    <w:rsid w:val="00A46643"/>
    <w:rsid w:val="00A579BA"/>
    <w:rsid w:val="00A84F31"/>
    <w:rsid w:val="00A97CEB"/>
    <w:rsid w:val="00AA2E3F"/>
    <w:rsid w:val="00AC0AEB"/>
    <w:rsid w:val="00AE1A97"/>
    <w:rsid w:val="00B05926"/>
    <w:rsid w:val="00B119D8"/>
    <w:rsid w:val="00B361DF"/>
    <w:rsid w:val="00B45F17"/>
    <w:rsid w:val="00B51EBA"/>
    <w:rsid w:val="00B825BE"/>
    <w:rsid w:val="00B90C6D"/>
    <w:rsid w:val="00BA0AE4"/>
    <w:rsid w:val="00BD149F"/>
    <w:rsid w:val="00BD2AF7"/>
    <w:rsid w:val="00C437F1"/>
    <w:rsid w:val="00C76CF7"/>
    <w:rsid w:val="00C86580"/>
    <w:rsid w:val="00CA09C0"/>
    <w:rsid w:val="00CA3DD3"/>
    <w:rsid w:val="00D012C6"/>
    <w:rsid w:val="00D041E3"/>
    <w:rsid w:val="00D40D34"/>
    <w:rsid w:val="00D547B6"/>
    <w:rsid w:val="00DB51CD"/>
    <w:rsid w:val="00DD24F7"/>
    <w:rsid w:val="00DF4A7A"/>
    <w:rsid w:val="00E1765C"/>
    <w:rsid w:val="00E26097"/>
    <w:rsid w:val="00E33929"/>
    <w:rsid w:val="00E347B5"/>
    <w:rsid w:val="00EC0600"/>
    <w:rsid w:val="00ED242E"/>
    <w:rsid w:val="00EE450D"/>
    <w:rsid w:val="00EE5EF6"/>
    <w:rsid w:val="00EF2917"/>
    <w:rsid w:val="00F1233A"/>
    <w:rsid w:val="00F86BA2"/>
    <w:rsid w:val="00FA1829"/>
    <w:rsid w:val="00FB4898"/>
    <w:rsid w:val="00FC2091"/>
    <w:rsid w:val="00FD4AB6"/>
    <w:rsid w:val="00FF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702185"/>
  <w15:chartTrackingRefBased/>
  <w15:docId w15:val="{B88B443B-6571-408C-99CF-80F48CF71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2E3F"/>
    <w:pPr>
      <w:spacing w:line="256" w:lineRule="auto"/>
    </w:pPr>
    <w:rPr>
      <w:rFonts w:ascii="Arial" w:hAnsi="Arial"/>
      <w:color w:val="000000" w:themeColor="text1"/>
      <w:sz w:val="3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2E3F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4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2E3F"/>
    <w:pPr>
      <w:keepNext/>
      <w:keepLines/>
      <w:spacing w:before="40" w:after="0"/>
      <w:outlineLvl w:val="1"/>
    </w:pPr>
    <w:rPr>
      <w:rFonts w:eastAsiaTheme="majorEastAsia" w:cstheme="majorBidi"/>
      <w:b/>
      <w:color w:val="1F4E79" w:themeColor="accent1" w:themeShade="8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5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57C9"/>
  </w:style>
  <w:style w:type="paragraph" w:styleId="Stopka">
    <w:name w:val="footer"/>
    <w:basedOn w:val="Normalny"/>
    <w:link w:val="StopkaZnak"/>
    <w:uiPriority w:val="99"/>
    <w:unhideWhenUsed/>
    <w:rsid w:val="00855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7C9"/>
  </w:style>
  <w:style w:type="paragraph" w:styleId="Legenda">
    <w:name w:val="caption"/>
    <w:basedOn w:val="Normalny"/>
    <w:next w:val="Normalny"/>
    <w:uiPriority w:val="35"/>
    <w:unhideWhenUsed/>
    <w:qFormat/>
    <w:rsid w:val="007811C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a-Siatka">
    <w:name w:val="Table Grid"/>
    <w:basedOn w:val="Standardowy"/>
    <w:uiPriority w:val="39"/>
    <w:rsid w:val="00781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307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5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5A7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30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30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30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30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30C5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20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20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209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D242E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AA2E3F"/>
    <w:rPr>
      <w:rFonts w:ascii="Arial" w:eastAsiaTheme="majorEastAsia" w:hAnsi="Arial" w:cstheme="majorBidi"/>
      <w:b/>
      <w:color w:val="1F4E79" w:themeColor="accent1" w:themeShade="80"/>
      <w:sz w:val="32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A2E3F"/>
    <w:rPr>
      <w:rFonts w:ascii="Arial" w:eastAsiaTheme="majorEastAsia" w:hAnsi="Arial" w:cstheme="majorBidi"/>
      <w:b/>
      <w:color w:val="000000" w:themeColor="text1"/>
      <w:sz w:val="4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20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Postrzeganie uczestników z kraju partnerskiego</c:v>
                </c:pt>
              </c:strCache>
            </c:strRef>
          </c:tx>
          <c:dPt>
            <c:idx val="0"/>
            <c:bubble3D val="0"/>
            <c:spPr>
              <a:solidFill>
                <a:schemeClr val="accent2">
                  <a:shade val="76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9D09-4486-B602-B90A2FD19FCB}"/>
              </c:ext>
            </c:extLst>
          </c:dPt>
          <c:dPt>
            <c:idx val="1"/>
            <c:bubble3D val="0"/>
            <c:spPr>
              <a:solidFill>
                <a:schemeClr val="accent2">
                  <a:tint val="77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9D09-4486-B602-B90A2FD19FCB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Arkusz1!$A$2:$A$3</c:f>
              <c:strCache>
                <c:ptCount val="2"/>
                <c:pt idx="0">
                  <c:v>1. Pozytywne</c:v>
                </c:pt>
                <c:pt idx="1">
                  <c:v>2. Negatywne</c:v>
                </c:pt>
              </c:strCache>
            </c:strRef>
          </c:cat>
          <c:val>
            <c:numRef>
              <c:f>Arkusz1!$B$2:$B$3</c:f>
              <c:numCache>
                <c:formatCode>General</c:formatCode>
                <c:ptCount val="2"/>
                <c:pt idx="0">
                  <c:v>92</c:v>
                </c:pt>
                <c:pt idx="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D09-4486-B602-B90A2FD19FCB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Postrzeganie uczestnikó kraju partnerskiego</c:v>
                </c:pt>
              </c:strCache>
            </c:strRef>
          </c:tx>
          <c:dPt>
            <c:idx val="0"/>
            <c:bubble3D val="0"/>
            <c:spPr>
              <a:solidFill>
                <a:schemeClr val="accent6">
                  <a:shade val="76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62F-4653-B0BF-76D772B914BF}"/>
              </c:ext>
            </c:extLst>
          </c:dPt>
          <c:dPt>
            <c:idx val="1"/>
            <c:bubble3D val="0"/>
            <c:spPr>
              <a:solidFill>
                <a:schemeClr val="accent6">
                  <a:tint val="77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D62F-4653-B0BF-76D772B914BF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Arkusz1!$A$2:$A$3</c:f>
              <c:strCache>
                <c:ptCount val="2"/>
                <c:pt idx="0">
                  <c:v>1. Pozytywne</c:v>
                </c:pt>
                <c:pt idx="1">
                  <c:v>2. Negatywne </c:v>
                </c:pt>
              </c:strCache>
            </c:strRef>
          </c:cat>
          <c:val>
            <c:numRef>
              <c:f>Arkusz1!$B$2:$B$3</c:f>
              <c:numCache>
                <c:formatCode>General</c:formatCode>
                <c:ptCount val="2"/>
                <c:pt idx="0">
                  <c:v>97</c:v>
                </c:pt>
                <c:pt idx="1">
                  <c:v>3.2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57-4F12-803D-27DDE8D32F62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Ocena pracy zespołowej</c:v>
                </c:pt>
              </c:strCache>
            </c:strRef>
          </c:tx>
          <c:dPt>
            <c:idx val="0"/>
            <c:bubble3D val="0"/>
            <c:spPr>
              <a:solidFill>
                <a:schemeClr val="accent2">
                  <a:shade val="76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CAC6-4FFD-B1D4-161266CA2F8F}"/>
              </c:ext>
            </c:extLst>
          </c:dPt>
          <c:dPt>
            <c:idx val="1"/>
            <c:bubble3D val="0"/>
            <c:spPr>
              <a:solidFill>
                <a:schemeClr val="accent2">
                  <a:tint val="77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CAC6-4FFD-B1D4-161266CA2F8F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Arkusz1!$A$2:$A$3</c:f>
              <c:strCache>
                <c:ptCount val="2"/>
                <c:pt idx="0">
                  <c:v>1. Pozytywna</c:v>
                </c:pt>
                <c:pt idx="1">
                  <c:v>2. Negatywna</c:v>
                </c:pt>
              </c:strCache>
            </c:strRef>
          </c:cat>
          <c:val>
            <c:numRef>
              <c:f>Arkusz1!$B$2:$B$3</c:f>
              <c:numCache>
                <c:formatCode>General</c:formatCode>
                <c:ptCount val="2"/>
                <c:pt idx="0">
                  <c:v>95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215-4A5B-A771-A826FC49C22E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Zainteresowanie</a:t>
            </a:r>
            <a:r>
              <a:rPr lang="pl-PL" baseline="0"/>
              <a:t> spotkaniami realizowanymi w czasie wymiany</a:t>
            </a:r>
            <a:endParaRPr lang="pl-PL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Ciekawe spotkanie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Arkusz1!$A$2:$A$9</c:f>
              <c:strCache>
                <c:ptCount val="8"/>
                <c:pt idx="0">
                  <c:v>Bogdan Bloch Spółdzielnia Socjalna "MasterPunkt"</c:v>
                </c:pt>
                <c:pt idx="1">
                  <c:v>Stefan Wajda Pracownia dostępności Cyfrowej "LepszyWeb"</c:v>
                </c:pt>
                <c:pt idx="2">
                  <c:v>Tadeusz Rogowski Fundacja "Niewidomi na tandemach"</c:v>
                </c:pt>
                <c:pt idx="3">
                  <c:v>Robert Jaworski Stowarzyszenie "Twoje nowe możliwości"</c:v>
                </c:pt>
                <c:pt idx="4">
                  <c:v>Paweł Masarczyk WIENFLUSS information.design.solutions </c:v>
                </c:pt>
                <c:pt idx="5">
                  <c:v>Konrad Galiński Grupa AF i Spółdzielnia "Fado"</c:v>
                </c:pt>
                <c:pt idx="6">
                  <c:v>OWES </c:v>
                </c:pt>
                <c:pt idx="7">
                  <c:v>Łukasz Jurek Pomarańczka.cafe Sp. z o.o.</c:v>
                </c:pt>
              </c:strCache>
            </c:strRef>
          </c:cat>
          <c:val>
            <c:numRef>
              <c:f>Arkusz1!$B$2:$B$9</c:f>
              <c:numCache>
                <c:formatCode>General</c:formatCode>
                <c:ptCount val="8"/>
                <c:pt idx="0">
                  <c:v>21</c:v>
                </c:pt>
                <c:pt idx="1">
                  <c:v>23</c:v>
                </c:pt>
                <c:pt idx="2">
                  <c:v>19</c:v>
                </c:pt>
                <c:pt idx="3">
                  <c:v>23</c:v>
                </c:pt>
                <c:pt idx="4">
                  <c:v>24</c:v>
                </c:pt>
                <c:pt idx="5">
                  <c:v>18</c:v>
                </c:pt>
                <c:pt idx="6">
                  <c:v>24</c:v>
                </c:pt>
                <c:pt idx="7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C6-4F52-AEBF-9E419FD53D9F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Mało interesujące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Arkusz1!$A$2:$A$9</c:f>
              <c:strCache>
                <c:ptCount val="8"/>
                <c:pt idx="0">
                  <c:v>Bogdan Bloch Spółdzielnia Socjalna "MasterPunkt"</c:v>
                </c:pt>
                <c:pt idx="1">
                  <c:v>Stefan Wajda Pracownia dostępności Cyfrowej "LepszyWeb"</c:v>
                </c:pt>
                <c:pt idx="2">
                  <c:v>Tadeusz Rogowski Fundacja "Niewidomi na tandemach"</c:v>
                </c:pt>
                <c:pt idx="3">
                  <c:v>Robert Jaworski Stowarzyszenie "Twoje nowe możliwości"</c:v>
                </c:pt>
                <c:pt idx="4">
                  <c:v>Paweł Masarczyk WIENFLUSS information.design.solutions </c:v>
                </c:pt>
                <c:pt idx="5">
                  <c:v>Konrad Galiński Grupa AF i Spółdzielnia "Fado"</c:v>
                </c:pt>
                <c:pt idx="6">
                  <c:v>OWES </c:v>
                </c:pt>
                <c:pt idx="7">
                  <c:v>Łukasz Jurek Pomarańczka.cafe Sp. z o.o.</c:v>
                </c:pt>
              </c:strCache>
            </c:strRef>
          </c:cat>
          <c:val>
            <c:numRef>
              <c:f>Arkusz1!$C$2:$C$9</c:f>
              <c:numCache>
                <c:formatCode>General</c:formatCode>
                <c:ptCount val="8"/>
                <c:pt idx="0">
                  <c:v>3</c:v>
                </c:pt>
                <c:pt idx="1">
                  <c:v>1</c:v>
                </c:pt>
                <c:pt idx="2">
                  <c:v>5</c:v>
                </c:pt>
                <c:pt idx="3">
                  <c:v>1</c:v>
                </c:pt>
                <c:pt idx="4">
                  <c:v>1</c:v>
                </c:pt>
                <c:pt idx="5">
                  <c:v>6</c:v>
                </c:pt>
                <c:pt idx="6">
                  <c:v>0</c:v>
                </c:pt>
                <c:pt idx="7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5C6-4F52-AEBF-9E419FD53D9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149525120"/>
        <c:axId val="1014907808"/>
      </c:barChart>
      <c:catAx>
        <c:axId val="1149525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014907808"/>
        <c:crosses val="autoZero"/>
        <c:auto val="1"/>
        <c:lblAlgn val="ctr"/>
        <c:lblOffset val="100"/>
        <c:noMultiLvlLbl val="0"/>
      </c:catAx>
      <c:valAx>
        <c:axId val="1014907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149525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Poziom</a:t>
            </a:r>
            <a:r>
              <a:rPr lang="pl-PL" baseline="0"/>
              <a:t> posługiwania technologiami asystującymi przez uczestników wymiany</a:t>
            </a:r>
            <a:endParaRPr lang="pl-PL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Badanie wstępne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76000"/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hade val="76000"/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shade val="76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Arkusz1!$A$2:$A$4</c:f>
              <c:strCache>
                <c:ptCount val="3"/>
                <c:pt idx="0">
                  <c:v>Niski</c:v>
                </c:pt>
                <c:pt idx="1">
                  <c:v>Przeciętny </c:v>
                </c:pt>
                <c:pt idx="2">
                  <c:v>Wysoki </c:v>
                </c:pt>
              </c:strCache>
            </c:strRef>
          </c:cat>
          <c:val>
            <c:numRef>
              <c:f>Arkusz1!$B$2:$B$4</c:f>
              <c:numCache>
                <c:formatCode>General</c:formatCode>
                <c:ptCount val="3"/>
                <c:pt idx="0">
                  <c:v>3</c:v>
                </c:pt>
                <c:pt idx="1">
                  <c:v>13</c:v>
                </c:pt>
                <c:pt idx="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D93-4F97-ACAB-27E5E10B2C5F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Badanie końcowe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tint val="77000"/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tint val="77000"/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tint val="77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Arkusz1!$A$2:$A$4</c:f>
              <c:strCache>
                <c:ptCount val="3"/>
                <c:pt idx="0">
                  <c:v>Niski</c:v>
                </c:pt>
                <c:pt idx="1">
                  <c:v>Przeciętny </c:v>
                </c:pt>
                <c:pt idx="2">
                  <c:v>Wysoki </c:v>
                </c:pt>
              </c:strCache>
            </c:strRef>
          </c:cat>
          <c:val>
            <c:numRef>
              <c:f>Arkusz1!$C$2:$C$4</c:f>
              <c:numCache>
                <c:formatCode>General</c:formatCode>
                <c:ptCount val="3"/>
                <c:pt idx="0">
                  <c:v>3</c:v>
                </c:pt>
                <c:pt idx="1">
                  <c:v>12</c:v>
                </c:pt>
                <c:pt idx="2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D93-4F97-ACAB-27E5E10B2C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951883760"/>
        <c:axId val="951882800"/>
      </c:barChart>
      <c:valAx>
        <c:axId val="951882800"/>
        <c:scaling>
          <c:orientation val="minMax"/>
        </c:scaling>
        <c:delete val="0"/>
        <c:axPos val="r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951883760"/>
        <c:crosses val="max"/>
        <c:crossBetween val="between"/>
      </c:valAx>
      <c:catAx>
        <c:axId val="951883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95188280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2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3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6251A-2201-4B74-86AA-41AAB08E5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7</Pages>
  <Words>1277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Poznaniu</Company>
  <LinksUpToDate>false</LinksUpToDate>
  <CharactersWithSpaces>8925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Pietryga</dc:creator>
  <cp:keywords/>
  <dc:description/>
  <cp:lastModifiedBy>Łukasz Mroziński</cp:lastModifiedBy>
  <cp:revision>7</cp:revision>
  <cp:lastPrinted>2024-09-06T10:24:00Z</cp:lastPrinted>
  <dcterms:created xsi:type="dcterms:W3CDTF">2024-11-03T20:07:00Z</dcterms:created>
  <dcterms:modified xsi:type="dcterms:W3CDTF">2024-11-17T15:06:00Z</dcterms:modified>
</cp:coreProperties>
</file>